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0F" w:rsidRDefault="00FA7739">
      <w:pPr>
        <w:spacing w:afterLines="100" w:after="292"/>
        <w:jc w:val="center"/>
        <w:rPr>
          <w:rFonts w:ascii="方正小标宋_GBK" w:eastAsia="方正小标宋_GBK"/>
          <w:sz w:val="32"/>
          <w:szCs w:val="32"/>
        </w:rPr>
      </w:pPr>
      <w:bookmarkStart w:id="0" w:name="_GoBack"/>
      <w:bookmarkEnd w:id="0"/>
      <w:r>
        <w:rPr>
          <w:rFonts w:ascii="方正小标宋_GBK" w:eastAsia="方正小标宋_GBK" w:hint="eastAsia"/>
          <w:sz w:val="32"/>
          <w:szCs w:val="32"/>
        </w:rPr>
        <w:t>輸入非食用動物製品のリスクレベルと検査・検疫監督措置一覧</w:t>
      </w: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4863"/>
        <w:gridCol w:w="1457"/>
        <w:gridCol w:w="5942"/>
      </w:tblGrid>
      <w:tr w:rsidR="003B5D0F">
        <w:trPr>
          <w:tblHeader/>
          <w:jc w:val="center"/>
        </w:trPr>
        <w:tc>
          <w:tcPr>
            <w:tcW w:w="1752" w:type="dxa"/>
            <w:vAlign w:val="center"/>
          </w:tcPr>
          <w:p w:rsidR="003B5D0F" w:rsidRDefault="00FA7739">
            <w:pPr>
              <w:spacing w:line="300" w:lineRule="exact"/>
              <w:jc w:val="center"/>
              <w:rPr>
                <w:rFonts w:eastAsia="方正黑体简体"/>
                <w:b/>
                <w:sz w:val="24"/>
              </w:rPr>
            </w:pPr>
            <w:r>
              <w:rPr>
                <w:rFonts w:eastAsia="方正黑体简体"/>
                <w:b/>
                <w:sz w:val="24"/>
              </w:rPr>
              <w:t>カテゴリ</w:t>
            </w:r>
          </w:p>
        </w:tc>
        <w:tc>
          <w:tcPr>
            <w:tcW w:w="4863" w:type="dxa"/>
            <w:vAlign w:val="center"/>
          </w:tcPr>
          <w:p w:rsidR="003B5D0F" w:rsidRDefault="00FA7739">
            <w:pPr>
              <w:spacing w:line="300" w:lineRule="exact"/>
              <w:jc w:val="center"/>
              <w:rPr>
                <w:rFonts w:eastAsia="方正黑体简体"/>
                <w:b/>
                <w:sz w:val="24"/>
              </w:rPr>
            </w:pPr>
            <w:r>
              <w:rPr>
                <w:rFonts w:eastAsia="方正黑体简体"/>
                <w:b/>
                <w:sz w:val="24"/>
              </w:rPr>
              <w:t>製品</w:t>
            </w:r>
          </w:p>
        </w:tc>
        <w:tc>
          <w:tcPr>
            <w:tcW w:w="1457" w:type="dxa"/>
            <w:vAlign w:val="center"/>
          </w:tcPr>
          <w:p w:rsidR="003B5D0F" w:rsidRDefault="00FA7739">
            <w:pPr>
              <w:spacing w:line="300" w:lineRule="exact"/>
              <w:ind w:firstLineChars="50" w:firstLine="111"/>
              <w:jc w:val="center"/>
              <w:rPr>
                <w:rFonts w:eastAsia="方正黑体简体"/>
                <w:b/>
                <w:sz w:val="24"/>
              </w:rPr>
            </w:pPr>
            <w:r>
              <w:rPr>
                <w:rFonts w:eastAsia="方正黑体简体"/>
                <w:b/>
                <w:sz w:val="24"/>
              </w:rPr>
              <w:t>リスクレベル</w:t>
            </w:r>
          </w:p>
        </w:tc>
        <w:tc>
          <w:tcPr>
            <w:tcW w:w="5942" w:type="dxa"/>
            <w:vAlign w:val="center"/>
          </w:tcPr>
          <w:p w:rsidR="003B5D0F" w:rsidRDefault="00FA7739">
            <w:pPr>
              <w:spacing w:line="300" w:lineRule="exact"/>
              <w:ind w:firstLineChars="50" w:firstLine="121"/>
              <w:jc w:val="center"/>
              <w:rPr>
                <w:rFonts w:eastAsia="方正黑体简体"/>
                <w:b/>
                <w:spacing w:val="10"/>
                <w:sz w:val="24"/>
              </w:rPr>
            </w:pPr>
            <w:r>
              <w:rPr>
                <w:rFonts w:eastAsia="方正黑体简体"/>
                <w:b/>
                <w:spacing w:val="10"/>
                <w:sz w:val="24"/>
              </w:rPr>
              <w:t>検査・検疫監督措置</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肌</w:t>
            </w:r>
          </w:p>
        </w:tc>
        <w:tc>
          <w:tcPr>
            <w:tcW w:w="4863" w:type="dxa"/>
            <w:vAlign w:val="center"/>
          </w:tcPr>
          <w:p w:rsidR="003B5D0F" w:rsidRDefault="00FA7739">
            <w:pPr>
              <w:spacing w:line="300" w:lineRule="exact"/>
              <w:ind w:firstLineChars="164" w:firstLine="363"/>
              <w:jc w:val="left"/>
              <w:rPr>
                <w:rFonts w:eastAsia="方正仿宋简体"/>
                <w:sz w:val="24"/>
              </w:rPr>
            </w:pPr>
            <w:r>
              <w:rPr>
                <w:rFonts w:eastAsia="方正仿宋简体"/>
                <w:sz w:val="24"/>
              </w:rPr>
              <w:t>生皮および生皮（生皮、乾燥皮、塩漬け湿った皮、塩漬け皮、塩漬け乾燥皮、両生類および爬虫類を除く）</w:t>
            </w:r>
          </w:p>
        </w:tc>
        <w:tc>
          <w:tcPr>
            <w:tcW w:w="1457" w:type="dxa"/>
            <w:vAlign w:val="center"/>
          </w:tcPr>
          <w:p w:rsidR="003B5D0F" w:rsidRDefault="00FA7739">
            <w:pPr>
              <w:spacing w:line="300" w:lineRule="exact"/>
              <w:jc w:val="center"/>
              <w:rPr>
                <w:rFonts w:eastAsia="方正仿宋简体"/>
                <w:sz w:val="24"/>
              </w:rPr>
            </w:pPr>
            <w:r>
              <w:rPr>
                <w:rFonts w:eastAsia="方正仿宋简体"/>
                <w:sz w:val="24"/>
              </w:rPr>
              <w:t>レベルI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 入国前に「入国動植物検疫許可」を取得し、入国時に検疫証明書を検査し、検査および検疫を実施する必要がある。入国後は指定企業で保管され、検査と検疫の監督を受ける。</w:t>
            </w:r>
          </w:p>
        </w:tc>
      </w:tr>
      <w:tr w:rsidR="003B5D0F">
        <w:trPr>
          <w:trHeight w:val="1290"/>
          <w:jc w:val="center"/>
        </w:trPr>
        <w:tc>
          <w:tcPr>
            <w:tcW w:w="1752" w:type="dxa"/>
            <w:vMerge/>
            <w:vAlign w:val="center"/>
          </w:tcPr>
          <w:p w:rsidR="003B5D0F" w:rsidRDefault="003B5D0F"/>
        </w:tc>
        <w:tc>
          <w:tcPr>
            <w:tcW w:w="4863" w:type="dxa"/>
            <w:vAlign w:val="center"/>
          </w:tcPr>
          <w:p w:rsidR="003B5D0F" w:rsidRDefault="00FA7739">
            <w:pPr>
              <w:spacing w:line="300" w:lineRule="exact"/>
              <w:ind w:firstLineChars="164" w:firstLine="363"/>
              <w:jc w:val="left"/>
              <w:rPr>
                <w:rFonts w:eastAsia="方正仿宋简体"/>
                <w:sz w:val="24"/>
              </w:rPr>
            </w:pPr>
            <w:r>
              <w:rPr>
                <w:rFonts w:eastAsia="方正仿宋简体"/>
                <w:sz w:val="24"/>
              </w:rPr>
              <w:t>両生類と爬虫類の皮</w:t>
            </w:r>
          </w:p>
        </w:tc>
        <w:tc>
          <w:tcPr>
            <w:tcW w:w="1457" w:type="dxa"/>
            <w:vAlign w:val="center"/>
          </w:tcPr>
          <w:p w:rsidR="003B5D0F" w:rsidRDefault="00FA7739">
            <w:pPr>
              <w:spacing w:line="300" w:lineRule="exact"/>
              <w:jc w:val="center"/>
              <w:rPr>
                <w:rFonts w:eastAsia="方正仿宋简体"/>
                <w:sz w:val="24"/>
              </w:rPr>
            </w:pPr>
            <w:r>
              <w:rPr>
                <w:rFonts w:eastAsia="方正仿宋简体"/>
                <w:sz w:val="24"/>
              </w:rPr>
              <w:t>レベルⅡ</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輸出国または地域の規制制度の評価、海外生産・加工・保管企業の登録、入国前に「入国動植物検疫許可証」を取得し、入国時に検査・検疫を実施する必要がある。</w:t>
            </w:r>
          </w:p>
        </w:tc>
      </w:tr>
      <w:tr w:rsidR="003B5D0F">
        <w:trPr>
          <w:trHeight w:val="503"/>
          <w:jc w:val="center"/>
        </w:trPr>
        <w:tc>
          <w:tcPr>
            <w:tcW w:w="1752" w:type="dxa"/>
            <w:vMerge/>
            <w:vAlign w:val="center"/>
          </w:tcPr>
          <w:p w:rsidR="003B5D0F" w:rsidRDefault="003B5D0F"/>
        </w:tc>
        <w:tc>
          <w:tcPr>
            <w:tcW w:w="4863" w:type="dxa"/>
            <w:vAlign w:val="center"/>
          </w:tcPr>
          <w:p w:rsidR="003B5D0F" w:rsidRDefault="00FA7739">
            <w:pPr>
              <w:spacing w:line="300" w:lineRule="exact"/>
              <w:ind w:firstLineChars="164" w:firstLine="363"/>
              <w:jc w:val="left"/>
              <w:rPr>
                <w:rFonts w:eastAsia="方正仿宋简体"/>
                <w:b/>
                <w:sz w:val="24"/>
              </w:rPr>
            </w:pPr>
            <w:r>
              <w:rPr>
                <w:rFonts w:eastAsia="方正仿宋简体"/>
                <w:sz w:val="24"/>
              </w:rPr>
              <w:t>生皮（pH14以上の環境で2時間以上処理）、漬け込み皮（pH2以下の環境で1時間以上処理）等で加工された動物のなめし皮同等の方法</w:t>
            </w:r>
            <w:r>
              <w:rPr>
                <w:rFonts w:eastAsia="方正仿宋简体" w:hint="eastAsia"/>
                <w:sz w:val="24"/>
              </w:rPr>
              <w:t>;</w:t>
            </w:r>
            <w:r>
              <w:rPr>
                <w:rFonts w:eastAsia="方正仿宋简体"/>
                <w:sz w:val="24"/>
              </w:rPr>
              <w:t>動物の皮をなめす（関連する</w:t>
            </w:r>
            <w:r>
              <w:rPr>
                <w:rFonts w:eastAsia="方正仿宋简体" w:hint="eastAsia"/>
                <w:sz w:val="24"/>
              </w:rPr>
              <w:t>動物の病気が蔓延している</w:t>
            </w:r>
            <w:r>
              <w:rPr>
                <w:rFonts w:eastAsia="方正仿宋简体"/>
                <w:sz w:val="24"/>
              </w:rPr>
              <w:t>地域）</w:t>
            </w:r>
          </w:p>
        </w:tc>
        <w:tc>
          <w:tcPr>
            <w:tcW w:w="1457" w:type="dxa"/>
            <w:vAlign w:val="center"/>
          </w:tcPr>
          <w:p w:rsidR="003B5D0F" w:rsidRDefault="00FA7739">
            <w:pPr>
              <w:spacing w:line="300" w:lineRule="exact"/>
              <w:jc w:val="center"/>
              <w:rPr>
                <w:rFonts w:eastAsia="方正仿宋简体"/>
                <w:sz w:val="24"/>
              </w:rPr>
            </w:pPr>
            <w:r>
              <w:rPr>
                <w:rFonts w:eastAsia="方正仿宋简体"/>
                <w:sz w:val="24"/>
              </w:rPr>
              <w:t>レベルⅢ</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輸出国または地域の規制制度の評価、海外生産・加工・保管企業の登録、入国時の検疫証明書の検査、検査・検疫の実施。</w:t>
            </w:r>
          </w:p>
        </w:tc>
      </w:tr>
      <w:tr w:rsidR="003B5D0F">
        <w:trPr>
          <w:trHeight w:val="427"/>
          <w:jc w:val="center"/>
        </w:trPr>
        <w:tc>
          <w:tcPr>
            <w:tcW w:w="1752" w:type="dxa"/>
            <w:vMerge/>
            <w:vAlign w:val="center"/>
          </w:tcPr>
          <w:p w:rsidR="003B5D0F" w:rsidRDefault="003B5D0F"/>
        </w:tc>
        <w:tc>
          <w:tcPr>
            <w:tcW w:w="4863" w:type="dxa"/>
            <w:vAlign w:val="center"/>
          </w:tcPr>
          <w:p w:rsidR="003B5D0F" w:rsidRDefault="00FA7739">
            <w:pPr>
              <w:widowControl/>
              <w:spacing w:line="300" w:lineRule="exact"/>
              <w:ind w:firstLineChars="164" w:firstLine="363"/>
              <w:jc w:val="left"/>
              <w:rPr>
                <w:rFonts w:eastAsia="方正仿宋简体"/>
                <w:sz w:val="24"/>
              </w:rPr>
            </w:pPr>
            <w:r>
              <w:rPr>
                <w:rFonts w:eastAsia="方正仿宋简体"/>
                <w:sz w:val="24"/>
              </w:rPr>
              <w:t>なめした動物の皮(関連する</w:t>
            </w:r>
            <w:r>
              <w:rPr>
                <w:rFonts w:eastAsia="方正仿宋简体" w:hint="eastAsia"/>
                <w:sz w:val="24"/>
              </w:rPr>
              <w:t>動物疾患の流行地域ではない)</w:t>
            </w:r>
          </w:p>
        </w:tc>
        <w:tc>
          <w:tcPr>
            <w:tcW w:w="1457" w:type="dxa"/>
            <w:vAlign w:val="center"/>
          </w:tcPr>
          <w:p w:rsidR="003B5D0F" w:rsidRDefault="00FA7739">
            <w:pPr>
              <w:spacing w:line="300" w:lineRule="exact"/>
              <w:jc w:val="center"/>
              <w:rPr>
                <w:rFonts w:eastAsia="方正仿宋简体"/>
                <w:sz w:val="24"/>
              </w:rPr>
            </w:pPr>
            <w:r>
              <w:rPr>
                <w:rFonts w:eastAsia="方正仿宋简体"/>
                <w:sz w:val="24"/>
              </w:rPr>
              <w:t>レベルIV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入国時に検査と隔離が実施されます。</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ウールと繊維</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原毛、未加工ダウン、未洗浄の羽毛とダウン、未加工の動物の毛と尾</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 入国前に「入国動植物検疫許可」を取得し、入国時に検疫証明書を検査し、検査および検疫を実施する必要がある。入国後は指定企業で保管され、検査と検疫の監督を受ける。</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羊毛とビロードを洗い、羽毛と羽毛を洗い、馬と牛（たてがみ）と尾の毛を洗い、豚の毛を茹で、羊毛の糸くずを洗います。</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レベルⅢ</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輸出国または地域の規制制度の評価、海外生産・加工・保管企業の登録、入国時の検疫証明書の検査、検査・検疫の実施。</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脱脂または染色された装飾羽毛、ダウン、炭化ウール、カードウール、生糸;</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入国時に検査と隔離が実施されます。</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蹄の骨の角度</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加工されていない、または主に加工された有蹄類、げっ歯類および鳥類の骨、ひづめおよび角</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 入国前に「入国動植物検疫許可」を取得し、入国時に検疫証明書を検査し、検査および検疫を実施する必要がある。入国後は指定企業で保管され、検査と検疫の監督を受ける。</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カバおよびその他の動物の歯、脱脂済み（80℃以上で30分以上処理）、動物（両生類および爬虫類を除く）の骨、ひづめ、角</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レベルⅡ</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輸出国または地域の規制制度の評価、海外生産・加工・保管企業の登録、入国前に「入国動植物検疫許可証」を取得し、入国時に検査・検疫を実施する必要がある。</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両生類および爬虫類の骨、貝殻、角、鱗、骨油</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レベルⅢ</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輸出国または地域の規制制度の評価、海外生産・加工・保管企業の登録、入国時の検疫証明書の検査、検査・検疫の実施。</w:t>
            </w:r>
          </w:p>
        </w:tc>
      </w:tr>
      <w:tr w:rsidR="003B5D0F">
        <w:trPr>
          <w:trHeight w:val="382"/>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マンモスの歯などの動物の骨、蹄、角、歯の化石、動物の骨、ひづめ、角、歯を深く加工して作られた文化財、動物の角を加工したすり鉢、ティースプーン、櫛、靴べら、その他の動物の角製品</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入国時に検査と隔離が実施されます。</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グリース</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未加工の動物（両生類および爬虫類を除く）の脂肪組織およびその低温圧搾油、BSEリスクが無視できる国または地域からの非高温精製反芻動物油</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 入国前に「入国動植物検疫許可」を取得し、入国時に検疫証明書を検査し、検査および検疫を実施する必要がある。入国後は指定企業で保管され、検査と検疫の監督を受ける。</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ラノリン</w:t>
            </w:r>
            <w:r>
              <w:rPr>
                <w:rFonts w:eastAsia="方正仿宋简体" w:hint="eastAsia"/>
                <w:sz w:val="24"/>
              </w:rPr>
              <w:t>;</w:t>
            </w:r>
            <w:r>
              <w:rPr>
                <w:rFonts w:eastAsia="方正仿宋简体"/>
                <w:sz w:val="24"/>
              </w:rPr>
              <w:t>高温（80℃以上で少なくとも30分間）精製された動物性脂肪</w:t>
            </w:r>
            <w:r>
              <w:rPr>
                <w:rFonts w:eastAsia="方正仿宋简体" w:hint="eastAsia"/>
                <w:sz w:val="24"/>
              </w:rPr>
              <w:t xml:space="preserve">（ </w:t>
            </w:r>
            <w:r>
              <w:rPr>
                <w:rFonts w:eastAsia="方正仿宋简体"/>
                <w:sz w:val="24"/>
              </w:rPr>
              <w:t>BSEリスクが無視できる国または地域における高温精製された反芻動物の脂肪を除く</w:t>
            </w:r>
            <w:r>
              <w:rPr>
                <w:rFonts w:eastAsia="方正仿宋简体" w:hint="eastAsia"/>
                <w:sz w:val="24"/>
              </w:rPr>
              <w:t xml:space="preserve">） </w:t>
            </w:r>
            <w:r>
              <w:rPr>
                <w:rFonts w:eastAsia="方正仿宋简体"/>
                <w:sz w:val="24"/>
              </w:rPr>
              <w:t>、両生類および爬虫類の脂肪</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レベルⅢ</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輸出国または地域の規制制度の評価、海外生産・加工・保管企業の登録、入国時の検疫証明書の検査、検査・検疫の実施。</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高温（80℃以上、30分以上）で精製された両生類・爬虫類油脂</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入国時に検査と隔離が実施されます。</w:t>
            </w:r>
          </w:p>
        </w:tc>
      </w:tr>
      <w:tr w:rsidR="003B5D0F">
        <w:trPr>
          <w:trHeight w:val="430"/>
          <w:jc w:val="center"/>
        </w:trPr>
        <w:tc>
          <w:tcPr>
            <w:tcW w:w="1752" w:type="dxa"/>
            <w:vAlign w:val="center"/>
          </w:tcPr>
          <w:p w:rsidR="003B5D0F" w:rsidRDefault="00FA7739">
            <w:pPr>
              <w:spacing w:line="280" w:lineRule="exact"/>
              <w:jc w:val="center"/>
              <w:rPr>
                <w:rFonts w:eastAsia="方正仿宋简体"/>
                <w:sz w:val="24"/>
              </w:rPr>
            </w:pPr>
            <w:r>
              <w:rPr>
                <w:rFonts w:eastAsia="方正仿宋简体"/>
                <w:sz w:val="24"/>
              </w:rPr>
              <w:t>剥製術</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保存された動物標本</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入国時に検査と隔離が実施されます。</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蚕製品</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蚕の生繭、蚕の蛹、切断繭、長い唾、停滞頭</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 入国前に「入国動植物検疫許可」を取得し、入国時に検疫証明書を検査し、検査および検疫を実施する必要がある。入国後は指定企業で保管され、検査と検疫の監督を受ける。</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ルオミアン</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レベルⅢ</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輸出国または地域の規制制度の評価、検疫証明書の検査および入国時の検査および検疫の実施</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生糸</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入国時に検査と隔離が実施されます。</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蜂製品</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生ハニカム、ミツロウ、プロポリス</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レベルⅡ</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輸出国または地域の規制制度の評価、海外生産・加工・保管企業の登録、入国前に「入国動植物検疫許可証」を取得し、入国時に検査・検疫を実施する必要がある。</w:t>
            </w:r>
          </w:p>
        </w:tc>
      </w:tr>
      <w:tr w:rsidR="003B5D0F">
        <w:trPr>
          <w:jc w:val="center"/>
        </w:trPr>
        <w:tc>
          <w:tcPr>
            <w:tcW w:w="1752" w:type="dxa"/>
            <w:vMerge/>
            <w:vAlign w:val="center"/>
          </w:tcPr>
          <w:p w:rsidR="003B5D0F" w:rsidRDefault="003B5D0F"/>
        </w:tc>
        <w:tc>
          <w:tcPr>
            <w:tcW w:w="4863" w:type="dxa"/>
            <w:vAlign w:val="center"/>
          </w:tcPr>
          <w:p w:rsidR="003B5D0F" w:rsidRDefault="00FA7739">
            <w:pPr>
              <w:tabs>
                <w:tab w:val="left" w:pos="675"/>
              </w:tabs>
              <w:spacing w:line="280" w:lineRule="exact"/>
              <w:ind w:firstLineChars="164" w:firstLine="363"/>
              <w:jc w:val="left"/>
              <w:rPr>
                <w:rFonts w:eastAsia="方正仿宋简体"/>
                <w:sz w:val="24"/>
              </w:rPr>
            </w:pPr>
            <w:r>
              <w:rPr>
                <w:rFonts w:eastAsia="方正仿宋简体"/>
                <w:sz w:val="24"/>
              </w:rPr>
              <w:t>その他の蜂製品</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レベルⅢ</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輸出国または地域の規制制度の評価、検疫証明書の検査および入国時の検査および検疫の実施。</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水産物</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未加工または一次加工された水産物およびエビ殻、カニ殻、ハマグリ殻などの水生動物副産物</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レベルⅡ</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輸出国または地域の規制制度の評価、海外生産・加工・保管企業の登録、入国前に「入国動植物検疫許可証」を取得し、入国時に検査・検疫を実施する必要がある。</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jc w:val="left"/>
              <w:rPr>
                <w:rFonts w:eastAsia="方正仿宋简体"/>
                <w:sz w:val="24"/>
              </w:rPr>
            </w:pPr>
            <w:r>
              <w:rPr>
                <w:rFonts w:eastAsia="方正仿宋简体"/>
                <w:sz w:val="24"/>
              </w:rPr>
              <w:t>魚の皮、骨、鱗、油、軟体の油。</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レベルⅢ</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輸出国または地域の規制制度の評価、検疫証明書の検査および入国時の検査および検疫の実施。</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加工された貝殻、エビの殻、カニの殻およびその他の水生動物の副産物およびその製品; 真珠およびその製品;</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入国時に検査と隔離が実施されます。</w:t>
            </w:r>
          </w:p>
        </w:tc>
      </w:tr>
      <w:tr w:rsidR="003B5D0F">
        <w:trPr>
          <w:jc w:val="center"/>
        </w:trPr>
        <w:tc>
          <w:tcPr>
            <w:tcW w:w="1752" w:type="dxa"/>
            <w:vMerge w:val="restart"/>
            <w:vAlign w:val="center"/>
          </w:tcPr>
          <w:p w:rsidR="003B5D0F" w:rsidRDefault="00FA7739">
            <w:pPr>
              <w:spacing w:line="280" w:lineRule="exact"/>
              <w:jc w:val="center"/>
              <w:rPr>
                <w:rFonts w:eastAsia="方正仿宋简体"/>
                <w:sz w:val="24"/>
              </w:rPr>
            </w:pPr>
            <w:r>
              <w:rPr>
                <w:rFonts w:eastAsia="方正仿宋简体"/>
                <w:sz w:val="24"/>
              </w:rPr>
              <w:t>その他の非食用動物製品</w:t>
            </w:r>
          </w:p>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未加工または主に加工された動物の内臓、組織および消化液</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 入国前に「入国動植物検疫許可」を取得し、入国時に検疫証明書を検査し、検査および検疫を</w:t>
            </w:r>
            <w:r>
              <w:rPr>
                <w:rFonts w:eastAsia="方正仿宋简体"/>
                <w:sz w:val="24"/>
              </w:rPr>
              <w:lastRenderedPageBreak/>
              <w:t>実施する必要がある。入国後は指定企業で保管され、検査と検疫の監督を受ける。</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BSE リスクが無視できる国または地域からの動物由来の肥料、非 BSE 由来の骨接着剤</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レベルⅡ</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輸出国または地域の規制制度の評価、海外生産・加工・保管企業の登録、入国前に「入国動植物検疫許可証」を取得し、入国時に検査・検疫を実施する必要がある。</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カゼインなどの高度に加工または精製された乳由来製品、コンドロイチン硫酸、二塩基性リン酸カルシウム、胆汁酸塩などの高度に加工または精製された動物由来の副産物、およびその他の動物由来のゼラチン（BSEリスクが無視できる国ではない国を除く）または地域の牛や羊由来の骨接着剤）</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レベルⅢ</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輸出国または地域の規制制度の評価、検疫証明書の検査および入国時の検査および検疫の実施。</w:t>
            </w:r>
          </w:p>
        </w:tc>
      </w:tr>
      <w:tr w:rsidR="003B5D0F">
        <w:trPr>
          <w:jc w:val="center"/>
        </w:trPr>
        <w:tc>
          <w:tcPr>
            <w:tcW w:w="1752" w:type="dxa"/>
            <w:vMerge/>
            <w:vAlign w:val="center"/>
          </w:tcPr>
          <w:p w:rsidR="003B5D0F" w:rsidRDefault="003B5D0F"/>
        </w:tc>
        <w:tc>
          <w:tcPr>
            <w:tcW w:w="4863"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科学研究用の化学的に変性された動物の組織および臓器。科学研究用の工業用ゼラチン。</w:t>
            </w:r>
          </w:p>
        </w:tc>
        <w:tc>
          <w:tcPr>
            <w:tcW w:w="1457" w:type="dxa"/>
            <w:vAlign w:val="center"/>
          </w:tcPr>
          <w:p w:rsidR="003B5D0F" w:rsidRDefault="00FA7739">
            <w:pPr>
              <w:spacing w:line="280" w:lineRule="exact"/>
              <w:jc w:val="center"/>
              <w:rPr>
                <w:rFonts w:eastAsia="方正仿宋简体"/>
                <w:sz w:val="24"/>
              </w:rPr>
            </w:pPr>
            <w:r>
              <w:rPr>
                <w:rFonts w:eastAsia="方正仿宋简体"/>
                <w:sz w:val="24"/>
              </w:rPr>
              <w:t>レベルIV</w:t>
            </w:r>
          </w:p>
        </w:tc>
        <w:tc>
          <w:tcPr>
            <w:tcW w:w="5942" w:type="dxa"/>
            <w:vAlign w:val="center"/>
          </w:tcPr>
          <w:p w:rsidR="003B5D0F" w:rsidRDefault="00FA7739">
            <w:pPr>
              <w:spacing w:line="280" w:lineRule="exact"/>
              <w:ind w:firstLineChars="164" w:firstLine="363"/>
              <w:jc w:val="left"/>
              <w:rPr>
                <w:rFonts w:eastAsia="方正仿宋简体"/>
                <w:sz w:val="24"/>
              </w:rPr>
            </w:pPr>
            <w:r>
              <w:rPr>
                <w:rFonts w:eastAsia="方正仿宋简体"/>
                <w:sz w:val="24"/>
              </w:rPr>
              <w:t>入国時に検査と隔離が実施されます。</w:t>
            </w:r>
          </w:p>
        </w:tc>
      </w:tr>
    </w:tbl>
    <w:p w:rsidR="003B5D0F" w:rsidRDefault="003B5D0F">
      <w:pPr>
        <w:spacing w:line="480" w:lineRule="exact"/>
        <w:ind w:firstLineChars="100" w:firstLine="222"/>
        <w:rPr>
          <w:rFonts w:eastAsia="方正仿宋简体"/>
          <w:b/>
          <w:sz w:val="24"/>
        </w:rPr>
      </w:pPr>
    </w:p>
    <w:p w:rsidR="003B5D0F" w:rsidRDefault="00FA7739">
      <w:pPr>
        <w:spacing w:line="480" w:lineRule="exact"/>
        <w:ind w:firstLineChars="100" w:firstLine="222"/>
        <w:rPr>
          <w:rFonts w:eastAsia="方正仿宋简体"/>
          <w:b/>
          <w:sz w:val="24"/>
        </w:rPr>
      </w:pPr>
      <w:r>
        <w:rPr>
          <w:rFonts w:eastAsia="方正仿宋简体"/>
          <w:b/>
          <w:sz w:val="24"/>
        </w:rPr>
        <w:t>述べる：</w:t>
      </w:r>
    </w:p>
    <w:p w:rsidR="003B5D0F" w:rsidRDefault="00FA7739">
      <w:pPr>
        <w:spacing w:line="480" w:lineRule="exact"/>
        <w:ind w:firstLineChars="100" w:firstLine="222"/>
        <w:rPr>
          <w:rFonts w:eastAsia="方正仿宋简体"/>
          <w:sz w:val="24"/>
        </w:rPr>
      </w:pPr>
      <w:r>
        <w:rPr>
          <w:rFonts w:eastAsia="方正仿宋简体"/>
          <w:sz w:val="24"/>
        </w:rPr>
        <w:t>1. レベル II 以下のリスクを持つ製品は、口蹄疫や鳥インフルエンザなどの伝染病の規制の対象ではありませんが、口蹄疫を含む関連する動物の病気などの OIE コードなどの獣医学の健康要件に準拠する必要があります。 、鳥インフルエンザ、牛結節性皮膚病、羊痘およびヤギ痘、アフリカ豚コレラおよび豚コレラ。</w:t>
      </w:r>
    </w:p>
    <w:p w:rsidR="003B5D0F" w:rsidRDefault="00FA7739">
      <w:pPr>
        <w:spacing w:line="480" w:lineRule="exact"/>
        <w:ind w:firstLineChars="100" w:firstLine="222"/>
        <w:rPr>
          <w:rFonts w:eastAsia="方正仿宋简体"/>
          <w:sz w:val="24"/>
        </w:rPr>
      </w:pPr>
      <w:r>
        <w:rPr>
          <w:rFonts w:eastAsia="方正仿宋简体"/>
          <w:sz w:val="24"/>
        </w:rPr>
        <w:t>2. BSE リスクが無視できる国または地域は、税関総局によって評価および決定されるものとする。</w:t>
      </w:r>
    </w:p>
    <w:p w:rsidR="003B5D0F" w:rsidRDefault="00FA7739">
      <w:pPr>
        <w:spacing w:line="480" w:lineRule="exact"/>
        <w:ind w:firstLineChars="100" w:firstLine="222"/>
        <w:rPr>
          <w:rFonts w:eastAsia="方正仿宋简体"/>
          <w:sz w:val="24"/>
        </w:rPr>
      </w:pPr>
      <w:r>
        <w:rPr>
          <w:rFonts w:eastAsia="方正仿宋简体"/>
          <w:sz w:val="24"/>
        </w:rPr>
        <w:t>3. 関連する製品の定義:</w:t>
      </w:r>
    </w:p>
    <w:p w:rsidR="003B5D0F" w:rsidRDefault="00FA7739">
      <w:pPr>
        <w:spacing w:line="480" w:lineRule="exact"/>
        <w:ind w:firstLineChars="100" w:firstLine="222"/>
        <w:rPr>
          <w:rFonts w:eastAsia="方正仿宋简体"/>
          <w:sz w:val="24"/>
        </w:rPr>
      </w:pPr>
      <w:r>
        <w:rPr>
          <w:rFonts w:eastAsia="方正仿宋简体"/>
          <w:sz w:val="24"/>
        </w:rPr>
        <w:lastRenderedPageBreak/>
        <w:t>ウールの抜け毛とは、原毛が高温と酸で処理された後、特に炭化および除草プロセスの後に梳かされた切れ毛や抜け毛を指します。</w:t>
      </w:r>
    </w:p>
    <w:p w:rsidR="003B5D0F" w:rsidRDefault="00FA7739">
      <w:pPr>
        <w:spacing w:line="480" w:lineRule="exact"/>
        <w:ind w:firstLineChars="100" w:firstLine="222"/>
        <w:rPr>
          <w:rFonts w:eastAsia="方正仿宋简体"/>
          <w:sz w:val="24"/>
        </w:rPr>
      </w:pPr>
      <w:r>
        <w:rPr>
          <w:rFonts w:eastAsia="方正仿宋简体"/>
          <w:sz w:val="24"/>
        </w:rPr>
        <w:t>長紡糸とは、製糸工程で蚕の繭から取り出した乱雑な絹繊維を加工した製糸原料のことを指します。</w:t>
      </w:r>
    </w:p>
    <w:p w:rsidR="003B5D0F" w:rsidRDefault="00FA7739">
      <w:pPr>
        <w:spacing w:line="480" w:lineRule="exact"/>
        <w:ind w:firstLineChars="100" w:firstLine="222"/>
        <w:rPr>
          <w:rFonts w:eastAsia="方正仿宋简体"/>
          <w:sz w:val="24"/>
        </w:rPr>
      </w:pPr>
      <w:r>
        <w:rPr>
          <w:rFonts w:eastAsia="方正仿宋简体"/>
          <w:sz w:val="24"/>
        </w:rPr>
        <w:t>知頭とは、蚕の繭を巻き取った後に残る蛹の内皮を加工、選別した製糸原料のことを指します。</w:t>
      </w:r>
    </w:p>
    <w:p w:rsidR="003B5D0F" w:rsidRDefault="00FA7739">
      <w:pPr>
        <w:spacing w:line="480" w:lineRule="exact"/>
        <w:ind w:firstLineChars="100" w:firstLine="222"/>
        <w:rPr>
          <w:rFonts w:eastAsia="方正仿宋简体"/>
          <w:sz w:val="24"/>
        </w:rPr>
      </w:pPr>
      <w:r>
        <w:rPr>
          <w:rFonts w:eastAsia="方正仿宋简体"/>
          <w:sz w:val="24"/>
        </w:rPr>
        <w:t>ノイルとは、製糸原料（長繊維、ラグ繊維など）を精製し、丸く梳いて長繊維を取り出した後に残った短い繊維のことを指します。</w:t>
      </w:r>
    </w:p>
    <w:p w:rsidR="003B5D0F" w:rsidRDefault="00FA7739">
      <w:pPr>
        <w:spacing w:line="480" w:lineRule="exact"/>
        <w:ind w:firstLineChars="100" w:firstLine="222"/>
        <w:rPr>
          <w:rFonts w:eastAsia="方正仿宋简体"/>
          <w:sz w:val="24"/>
        </w:rPr>
      </w:pPr>
      <w:r>
        <w:rPr>
          <w:rFonts w:eastAsia="方正仿宋简体"/>
          <w:sz w:val="24"/>
        </w:rPr>
        <w:t>生糸とは、蚕の繭を巻き取ったもの（絹を80℃の温水で煮るなど）を指します。</w:t>
      </w:r>
    </w:p>
    <w:p w:rsidR="003B5D0F" w:rsidRDefault="00FA7739">
      <w:pPr>
        <w:spacing w:line="480" w:lineRule="exact"/>
        <w:ind w:firstLineChars="100" w:firstLine="222"/>
        <w:rPr>
          <w:rFonts w:eastAsia="方正仿宋简体"/>
          <w:sz w:val="24"/>
        </w:rPr>
      </w:pPr>
      <w:r>
        <w:rPr>
          <w:rFonts w:eastAsia="方正仿宋简体"/>
          <w:sz w:val="24"/>
        </w:rPr>
        <w:t>4. このリストは、入国検疫の承認やその他の作業の際の参考および動的調整のためのものです。</w:t>
      </w:r>
    </w:p>
    <w:sectPr w:rsidR="003B5D0F">
      <w:headerReference w:type="default" r:id="rId7"/>
      <w:footerReference w:type="even" r:id="rId8"/>
      <w:footerReference w:type="default" r:id="rId9"/>
      <w:pgSz w:w="16838" w:h="11906" w:orient="landscape"/>
      <w:pgMar w:top="1644" w:right="1701" w:bottom="1644" w:left="1701" w:header="851" w:footer="1418" w:gutter="0"/>
      <w:cols w:space="720"/>
      <w:docGrid w:type="linesAndChars" w:linePitch="292" w:charSpace="-3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82" w:rsidRDefault="00223882">
      <w:r>
        <w:separator/>
      </w:r>
    </w:p>
  </w:endnote>
  <w:endnote w:type="continuationSeparator" w:id="0">
    <w:p w:rsidR="00223882" w:rsidRDefault="0022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altName w:val="DejaVu Sans"/>
    <w:panose1 w:val="020B0604030504040204"/>
    <w:charset w:val="00"/>
    <w:family w:val="swiss"/>
    <w:pitch w:val="variable"/>
    <w:sig w:usb0="A00006FF" w:usb1="4000205B" w:usb2="00000010" w:usb3="00000000" w:csb0="0000019F" w:csb1="00000000"/>
  </w:font>
  <w:font w:name="楷体_GB2312">
    <w:altName w:val="永中楷体"/>
    <w:charset w:val="86"/>
    <w:family w:val="modern"/>
    <w:pitch w:val="variable"/>
    <w:sig w:usb0="00000001" w:usb1="080E0000" w:usb2="00000010" w:usb3="00000000" w:csb0="00040000" w:csb1="00000000"/>
  </w:font>
  <w:font w:name="方正小标宋_GBK">
    <w:altName w:val="Arial Unicode MS"/>
    <w:charset w:val="86"/>
    <w:family w:val="script"/>
    <w:pitch w:val="variable"/>
    <w:sig w:usb0="00000000" w:usb1="080E0000" w:usb2="00000000" w:usb3="00000000" w:csb0="00040000" w:csb1="00000000"/>
  </w:font>
  <w:font w:name="方正黑体简体">
    <w:altName w:val="宋体"/>
    <w:charset w:val="86"/>
    <w:family w:val="auto"/>
    <w:pitch w:val="variable"/>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F" w:rsidRDefault="00FA7739">
    <w:pPr>
      <w:pStyle w:val="a8"/>
      <w:framePr w:wrap="around" w:vAnchor="text" w:hAnchor="margin" w:xAlign="center" w:y="1"/>
    </w:pPr>
    <w:r>
      <w:rPr>
        <w:rStyle w:val="ac"/>
      </w:rPr>
      <w:fldChar w:fldCharType="begin"/>
    </w:r>
    <w:r>
      <w:rPr>
        <w:rStyle w:val="ac"/>
      </w:rPr>
      <w:instrText>Page</w:instrText>
    </w:r>
    <w:r>
      <w:rPr>
        <w:rStyle w:val="ac"/>
      </w:rPr>
      <w:fldChar w:fldCharType="separate"/>
    </w:r>
    <w:r>
      <w:rPr>
        <w:rStyle w:val="ac"/>
      </w:rPr>
      <w:t>1</w:t>
    </w:r>
    <w:r>
      <w:rPr>
        <w:rStyle w:val="ac"/>
      </w:rPr>
      <w:fldChar w:fldCharType="end"/>
    </w:r>
  </w:p>
  <w:p w:rsidR="003B5D0F" w:rsidRDefault="00FA7739">
    <w:pPr>
      <w:pStyle w:val="a8"/>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rsidR="003B5D0F" w:rsidRDefault="003B5D0F">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F" w:rsidRDefault="00FA7739">
    <w:pPr>
      <w:pStyle w:val="a8"/>
      <w:framePr w:wrap="around" w:vAnchor="text" w:hAnchor="margin" w:xAlign="center" w:y="1"/>
    </w:pPr>
    <w:r>
      <w:rPr>
        <w:rStyle w:val="ac"/>
      </w:rPr>
      <w:fldChar w:fldCharType="begin"/>
    </w:r>
    <w:r>
      <w:rPr>
        <w:rStyle w:val="ac"/>
      </w:rPr>
      <w:instrText>Page</w:instrText>
    </w:r>
    <w:r>
      <w:rPr>
        <w:rStyle w:val="ac"/>
      </w:rPr>
      <w:fldChar w:fldCharType="separate"/>
    </w:r>
    <w:r w:rsidR="00785D88">
      <w:rPr>
        <w:rStyle w:val="ac"/>
        <w:noProof/>
      </w:rPr>
      <w:t>1</w:t>
    </w:r>
    <w:r>
      <w:rPr>
        <w:rStyle w:val="ac"/>
      </w:rPr>
      <w:fldChar w:fldCharType="end"/>
    </w:r>
  </w:p>
  <w:p w:rsidR="003B5D0F" w:rsidRDefault="003B5D0F">
    <w:pPr>
      <w:pStyle w:val="a8"/>
      <w:framePr w:wrap="around" w:vAnchor="text" w:hAnchor="margin" w:xAlign="outside" w:y="1"/>
      <w:rPr>
        <w:rStyle w:val="ac"/>
        <w:rFonts w:ascii="宋体"/>
        <w:sz w:val="28"/>
        <w:szCs w:val="28"/>
      </w:rPr>
    </w:pPr>
  </w:p>
  <w:p w:rsidR="003B5D0F" w:rsidRDefault="003B5D0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82" w:rsidRDefault="00223882">
      <w:r>
        <w:separator/>
      </w:r>
    </w:p>
  </w:footnote>
  <w:footnote w:type="continuationSeparator" w:id="0">
    <w:p w:rsidR="00223882" w:rsidRDefault="0022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83" w:rsidRPr="00785D88" w:rsidRDefault="00093783" w:rsidP="00093783">
    <w:pPr>
      <w:jc w:val="right"/>
      <w:rPr>
        <w:color w:val="808080" w:themeColor="background1" w:themeShade="80"/>
        <w:sz w:val="18"/>
        <w:szCs w:val="18"/>
      </w:rPr>
    </w:pPr>
    <w:r w:rsidRPr="00785D88">
      <w:rPr>
        <w:color w:val="808080" w:themeColor="background1" w:themeShade="80"/>
        <w:sz w:val="18"/>
        <w:szCs w:val="18"/>
      </w:rPr>
      <w:t>registry@foodgacc.com +86-18911244880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0"/>
  <w:drawingGridVerticalSpacing w:val="14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3B5D0F"/>
    <w:rsid w:val="00093783"/>
    <w:rsid w:val="00223882"/>
    <w:rsid w:val="003B5D0F"/>
    <w:rsid w:val="00785D88"/>
    <w:rsid w:val="00FA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pPr>
      <w:spacing w:after="120"/>
    </w:pPr>
  </w:style>
  <w:style w:type="paragraph" w:styleId="a5">
    <w:name w:val="Body Text Indent"/>
    <w:basedOn w:val="a"/>
    <w:pPr>
      <w:spacing w:after="120"/>
      <w:ind w:leftChars="200" w:left="200"/>
    </w:pPr>
  </w:style>
  <w:style w:type="paragraph" w:styleId="a6">
    <w:name w:val="Date"/>
    <w:basedOn w:val="a"/>
    <w:next w:val="a"/>
    <w:pPr>
      <w:ind w:leftChars="2500" w:left="2500"/>
    </w:pPr>
  </w:style>
  <w:style w:type="paragraph" w:styleId="a7">
    <w:name w:val="Balloon Text"/>
    <w:basedOn w:val="a"/>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30">
    <w:name w:val="Body Text Indent 3"/>
    <w:basedOn w:val="a"/>
    <w:pPr>
      <w:spacing w:after="120"/>
      <w:ind w:leftChars="200" w:left="20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a">
    <w:name w:val="Normal (Web)"/>
    <w:basedOn w:val="a"/>
    <w:pPr>
      <w:widowControl/>
      <w:spacing w:before="100" w:beforeAutospacing="1" w:after="100" w:afterAutospacing="1"/>
      <w:jc w:val="left"/>
    </w:pPr>
    <w:rPr>
      <w:rFonts w:ascii="宋体"/>
      <w:kern w:val="0"/>
      <w:sz w:val="24"/>
    </w:rPr>
  </w:style>
  <w:style w:type="character" w:styleId="ab">
    <w:name w:val="Strong"/>
    <w:basedOn w:val="a0"/>
    <w:rPr>
      <w:rFonts w:cs="Times New Roman"/>
      <w:b/>
    </w:rPr>
  </w:style>
  <w:style w:type="character" w:styleId="ac">
    <w:name w:val="page number"/>
    <w:basedOn w:val="a0"/>
    <w:rPr>
      <w:rFonts w:cs="Times New Roman"/>
    </w:rPr>
  </w:style>
  <w:style w:type="character" w:styleId="HTML0">
    <w:name w:val="HTML Typewriter"/>
    <w:basedOn w:val="a0"/>
    <w:rPr>
      <w:rFonts w:ascii="宋体" w:eastAsia="宋体" w:cs="Times New Roman"/>
      <w:sz w:val="18"/>
    </w:rPr>
  </w:style>
  <w:style w:type="character" w:styleId="ad">
    <w:name w:val="Hyperlink"/>
    <w:basedOn w:val="a0"/>
    <w:rPr>
      <w:rFonts w:cs="Times New Roman"/>
      <w:color w:val="0000FF"/>
      <w:u w:val="single"/>
    </w:rPr>
  </w:style>
  <w:style w:type="character" w:styleId="ae">
    <w:name w:val="annotation reference"/>
    <w:basedOn w:val="a0"/>
    <w:rPr>
      <w:rFonts w:cs="Times New Roman"/>
      <w:sz w:val="21"/>
    </w:rPr>
  </w:style>
  <w:style w:type="paragraph" w:customStyle="1" w:styleId="Char">
    <w:name w:val="Char"/>
    <w:basedOn w:val="a"/>
    <w:pPr>
      <w:widowControl/>
      <w:spacing w:after="160" w:line="240" w:lineRule="exact"/>
      <w:jc w:val="left"/>
    </w:pPr>
    <w:rPr>
      <w:rFonts w:ascii="Verdana" w:eastAsia="楷体_GB2312" w:hAnsi="Verdana"/>
      <w:kern w:val="0"/>
      <w:sz w:val="18"/>
      <w:szCs w:val="20"/>
    </w:rPr>
  </w:style>
  <w:style w:type="paragraph" w:customStyle="1" w:styleId="Style12">
    <w:name w:val="_Style 12"/>
    <w:basedOn w:val="a"/>
    <w:pPr>
      <w:widowControl/>
      <w:spacing w:after="160" w:line="240" w:lineRule="exact"/>
      <w:jc w:val="left"/>
    </w:pPr>
    <w:rPr>
      <w:rFonts w:ascii="Verdana" w:hAnsi="Verdana"/>
      <w:kern w:val="0"/>
      <w:sz w:val="20"/>
      <w:szCs w:val="20"/>
    </w:rPr>
  </w:style>
  <w:style w:type="paragraph" w:customStyle="1" w:styleId="af">
    <w:name w:val="三级条标题"/>
    <w:basedOn w:val="a"/>
    <w:next w:val="a"/>
    <w:pPr>
      <w:widowControl/>
      <w:outlineLvl w:val="4"/>
    </w:pPr>
    <w:rPr>
      <w:rFonts w:ascii="黑体" w:eastAsia="黑体"/>
      <w:kern w:val="0"/>
      <w:szCs w:val="20"/>
    </w:rPr>
  </w:style>
  <w:style w:type="paragraph" w:customStyle="1" w:styleId="af0">
    <w:name w:val="段"/>
    <w:pPr>
      <w:autoSpaceDE w:val="0"/>
      <w:autoSpaceDN w:val="0"/>
      <w:ind w:firstLineChars="200" w:firstLine="200"/>
      <w:jc w:val="both"/>
    </w:pPr>
    <w:rPr>
      <w:rFonts w:ascii="宋体"/>
      <w:sz w:val="21"/>
    </w:rPr>
  </w:style>
  <w:style w:type="paragraph" w:customStyle="1" w:styleId="10">
    <w:name w:val="样式 10 磅"/>
    <w:pPr>
      <w:widowControl w:val="0"/>
      <w:jc w:val="both"/>
    </w:pPr>
    <w:rPr>
      <w:kern w:val="2"/>
      <w:sz w:val="21"/>
      <w:szCs w:val="24"/>
    </w:rPr>
  </w:style>
  <w:style w:type="paragraph" w:customStyle="1" w:styleId="110">
    <w:name w:val="样式 1 10 磅"/>
    <w:pPr>
      <w:widowControl w:val="0"/>
      <w:jc w:val="both"/>
    </w:pPr>
    <w:rPr>
      <w:kern w:val="2"/>
      <w:sz w:val="21"/>
      <w:szCs w:val="24"/>
    </w:rPr>
  </w:style>
  <w:style w:type="paragraph" w:customStyle="1" w:styleId="210">
    <w:name w:val="样式 2 10 磅"/>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pPr>
      <w:spacing w:after="120"/>
    </w:pPr>
  </w:style>
  <w:style w:type="paragraph" w:styleId="a5">
    <w:name w:val="Body Text Indent"/>
    <w:basedOn w:val="a"/>
    <w:pPr>
      <w:spacing w:after="120"/>
      <w:ind w:leftChars="200" w:left="200"/>
    </w:pPr>
  </w:style>
  <w:style w:type="paragraph" w:styleId="a6">
    <w:name w:val="Date"/>
    <w:basedOn w:val="a"/>
    <w:next w:val="a"/>
    <w:pPr>
      <w:ind w:leftChars="2500" w:left="2500"/>
    </w:pPr>
  </w:style>
  <w:style w:type="paragraph" w:styleId="a7">
    <w:name w:val="Balloon Text"/>
    <w:basedOn w:val="a"/>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30">
    <w:name w:val="Body Text Indent 3"/>
    <w:basedOn w:val="a"/>
    <w:pPr>
      <w:spacing w:after="120"/>
      <w:ind w:leftChars="200" w:left="20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a">
    <w:name w:val="Normal (Web)"/>
    <w:basedOn w:val="a"/>
    <w:pPr>
      <w:widowControl/>
      <w:spacing w:before="100" w:beforeAutospacing="1" w:after="100" w:afterAutospacing="1"/>
      <w:jc w:val="left"/>
    </w:pPr>
    <w:rPr>
      <w:rFonts w:ascii="宋体"/>
      <w:kern w:val="0"/>
      <w:sz w:val="24"/>
    </w:rPr>
  </w:style>
  <w:style w:type="character" w:styleId="ab">
    <w:name w:val="Strong"/>
    <w:basedOn w:val="a0"/>
    <w:rPr>
      <w:rFonts w:cs="Times New Roman"/>
      <w:b/>
    </w:rPr>
  </w:style>
  <w:style w:type="character" w:styleId="ac">
    <w:name w:val="page number"/>
    <w:basedOn w:val="a0"/>
    <w:rPr>
      <w:rFonts w:cs="Times New Roman"/>
    </w:rPr>
  </w:style>
  <w:style w:type="character" w:styleId="HTML0">
    <w:name w:val="HTML Typewriter"/>
    <w:basedOn w:val="a0"/>
    <w:rPr>
      <w:rFonts w:ascii="宋体" w:eastAsia="宋体" w:cs="Times New Roman"/>
      <w:sz w:val="18"/>
    </w:rPr>
  </w:style>
  <w:style w:type="character" w:styleId="ad">
    <w:name w:val="Hyperlink"/>
    <w:basedOn w:val="a0"/>
    <w:rPr>
      <w:rFonts w:cs="Times New Roman"/>
      <w:color w:val="0000FF"/>
      <w:u w:val="single"/>
    </w:rPr>
  </w:style>
  <w:style w:type="character" w:styleId="ae">
    <w:name w:val="annotation reference"/>
    <w:basedOn w:val="a0"/>
    <w:rPr>
      <w:rFonts w:cs="Times New Roman"/>
      <w:sz w:val="21"/>
    </w:rPr>
  </w:style>
  <w:style w:type="paragraph" w:customStyle="1" w:styleId="Char">
    <w:name w:val="Char"/>
    <w:basedOn w:val="a"/>
    <w:pPr>
      <w:widowControl/>
      <w:spacing w:after="160" w:line="240" w:lineRule="exact"/>
      <w:jc w:val="left"/>
    </w:pPr>
    <w:rPr>
      <w:rFonts w:ascii="Verdana" w:eastAsia="楷体_GB2312" w:hAnsi="Verdana"/>
      <w:kern w:val="0"/>
      <w:sz w:val="18"/>
      <w:szCs w:val="20"/>
    </w:rPr>
  </w:style>
  <w:style w:type="paragraph" w:customStyle="1" w:styleId="Style12">
    <w:name w:val="_Style 12"/>
    <w:basedOn w:val="a"/>
    <w:pPr>
      <w:widowControl/>
      <w:spacing w:after="160" w:line="240" w:lineRule="exact"/>
      <w:jc w:val="left"/>
    </w:pPr>
    <w:rPr>
      <w:rFonts w:ascii="Verdana" w:hAnsi="Verdana"/>
      <w:kern w:val="0"/>
      <w:sz w:val="20"/>
      <w:szCs w:val="20"/>
    </w:rPr>
  </w:style>
  <w:style w:type="paragraph" w:customStyle="1" w:styleId="af">
    <w:name w:val="三级条标题"/>
    <w:basedOn w:val="a"/>
    <w:next w:val="a"/>
    <w:pPr>
      <w:widowControl/>
      <w:outlineLvl w:val="4"/>
    </w:pPr>
    <w:rPr>
      <w:rFonts w:ascii="黑体" w:eastAsia="黑体"/>
      <w:kern w:val="0"/>
      <w:szCs w:val="20"/>
    </w:rPr>
  </w:style>
  <w:style w:type="paragraph" w:customStyle="1" w:styleId="af0">
    <w:name w:val="段"/>
    <w:pPr>
      <w:autoSpaceDE w:val="0"/>
      <w:autoSpaceDN w:val="0"/>
      <w:ind w:firstLineChars="200" w:firstLine="200"/>
      <w:jc w:val="both"/>
    </w:pPr>
    <w:rPr>
      <w:rFonts w:ascii="宋体"/>
      <w:sz w:val="21"/>
    </w:rPr>
  </w:style>
  <w:style w:type="paragraph" w:customStyle="1" w:styleId="10">
    <w:name w:val="样式 10 磅"/>
    <w:pPr>
      <w:widowControl w:val="0"/>
      <w:jc w:val="both"/>
    </w:pPr>
    <w:rPr>
      <w:kern w:val="2"/>
      <w:sz w:val="21"/>
      <w:szCs w:val="24"/>
    </w:rPr>
  </w:style>
  <w:style w:type="paragraph" w:customStyle="1" w:styleId="110">
    <w:name w:val="样式 1 10 磅"/>
    <w:pPr>
      <w:widowControl w:val="0"/>
      <w:jc w:val="both"/>
    </w:pPr>
    <w:rPr>
      <w:kern w:val="2"/>
      <w:sz w:val="21"/>
      <w:szCs w:val="24"/>
    </w:rPr>
  </w:style>
  <w:style w:type="paragraph" w:customStyle="1" w:styleId="210">
    <w:name w:val="样式 2 10 磅"/>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528</Words>
  <Characters>3012</Characters>
  <Application>Microsoft Office Word</Application>
  <DocSecurity>0</DocSecurity>
  <Lines>25</Lines>
  <Paragraphs>7</Paragraphs>
  <ScaleCrop>false</ScaleCrop>
  <Company>Legend (Beijing) Limited</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主题词：</dc:title>
  <dc:creator>wys/文印室/办公厅/aqsiq</dc:creator>
  <cp:lastModifiedBy>admin</cp:lastModifiedBy>
  <cp:revision>16</cp:revision>
  <cp:lastPrinted>2009-08-31T02:35:00Z</cp:lastPrinted>
  <dcterms:created xsi:type="dcterms:W3CDTF">2019-04-28T03:33:00Z</dcterms:created>
  <dcterms:modified xsi:type="dcterms:W3CDTF">2024-12-04T12:01:00Z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