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D" w:rsidRDefault="00034B6D">
      <w:pPr>
        <w:widowControl/>
        <w:spacing w:line="324" w:lineRule="atLeast"/>
        <w:rPr>
          <w:rFonts w:ascii="Times New Roman" w:eastAsia="方正黑体_GBK" w:cs="Times New Roman"/>
          <w:color w:val="000000"/>
          <w:kern w:val="0"/>
          <w:sz w:val="28"/>
          <w:szCs w:val="28"/>
        </w:rPr>
      </w:pPr>
    </w:p>
    <w:p w:rsidR="00034B6D" w:rsidRDefault="005C7D2C" w:rsidP="005C7D2C">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輸入乾燥野菜の海外生産企業の登録条件と比較・検査のポイント</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034B6D" w:rsidRDefault="00034B6D">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「中華人民共和国海外輸入食品生産企業の登録及び管理に関する規定」（関税総局第 248 号）によると、海外の鮮度保持及び乾燥野菜及び乾燥豆の生産企業は、中国で登録を申請する場合は、中国の法律および規制、規格および仕様の関連規定を遵守し、中国に輸出される保存および乾燥野菜および乾燥豆の検査および検疫プロトコルの要件を遵守する必要があります。この様式は、輸入保存乾燥野菜及び乾燥豆を管轄する海外の管轄当局が、記載された主な条件及び根拠並びに審査の主要な点に基づいて、保存乾燥野菜及び乾燥豆の生産企業に対して公的検査を実施するためのものである。企業は、海外の保存乾燥野菜や乾燥豆の生産者に対して、申請前に、記載されている主な条件と根拠に基づいて裏付け資料を記入して提出することができ、また、自己評価の審査項目に基づ</w:t>
      </w:r>
      <w:bookmarkStart w:id="0" w:name="_GoBack"/>
      <w:bookmarkEnd w:id="0"/>
      <w:r>
        <w:rPr>
          <w:rFonts w:ascii="Times New Roman" w:eastAsia="方正仿宋_GBK" w:cs="Times New Roman"/>
          <w:color w:val="000000"/>
          <w:kern w:val="0"/>
          <w:sz w:val="24"/>
          <w:szCs w:val="24"/>
        </w:rPr>
        <w:t>いて自己審査を行うこともできます。登録。</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海外管轄当局及び海外の鮮度・乾燥野菜・乾燥豆生産企業は、比較検査の実態に基づいて誠実に適合性の判断を行うべきである。</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保存乾燥野菜とは、葉物野菜、茎野菜、カリフラワー、ナス科の果物、メロン野菜、豆類の野菜類、根菜類を含め、生鮮野菜、または保存、脱水、乾燥等の乾燥工程を経た各種野菜製品を指します。そして食用の菌類など。乾燥豆とは、大豆を除く豆類の種子を乾燥させたものを指します。</w:t>
      </w:r>
    </w:p>
    <w:p w:rsidR="00034B6D" w:rsidRDefault="00034B6D">
      <w:pPr>
        <w:widowControl/>
        <w:spacing w:line="324" w:lineRule="atLeast"/>
        <w:jc w:val="center"/>
        <w:rPr>
          <w:rFonts w:ascii="Times New Roman" w:eastAsia="方正黑体_GBK" w:cs="Times New Roman"/>
          <w:color w:val="000000"/>
          <w:kern w:val="0"/>
          <w:sz w:val="44"/>
          <w:szCs w:val="44"/>
        </w:rPr>
      </w:pP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245"/>
        <w:gridCol w:w="3014"/>
        <w:gridCol w:w="3780"/>
        <w:gridCol w:w="3402"/>
        <w:gridCol w:w="1240"/>
        <w:gridCol w:w="1343"/>
      </w:tblGrid>
      <w:tr w:rsidR="00034B6D">
        <w:trPr>
          <w:trHeight w:val="39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要件とサポート資料の記入</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034B6D">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企業の基本状況</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w:t>
            </w:r>
            <w:r>
              <w:rPr>
                <w:rFonts w:ascii="Times New Roman" w:eastAsia="方正仿宋_GBK" w:cs="Times New Roman"/>
                <w:color w:val="000000"/>
                <w:kern w:val="0"/>
                <w:sz w:val="24"/>
                <w:szCs w:val="24"/>
              </w:rPr>
              <w:lastRenderedPageBreak/>
              <w:t>総局第 248 号）の第 5 条、第 6 条、第 7 条および第 8 条。</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中国に輸出される保存および乾燥野菜および乾燥豆の検査および検疫プロトコルは、申請国の管轄当局と税関総署の間で署名されます。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輸入生鮮野菜、乾燥野菜、乾燥豆の海外生産企業の1.基本情報フォームに記入します。 </w:t>
            </w:r>
            <w:r>
              <w:rPr>
                <w:rFonts w:ascii="Times New Roman" w:eastAsia="方正仿宋_GBK" w:cs="Times New Roman"/>
                <w:kern w:val="0"/>
                <w:sz w:val="24"/>
                <w:szCs w:val="24"/>
              </w:rPr>
              <w:t xml:space="preserve">1.1.2 </w:t>
            </w:r>
            <w:r>
              <w:rPr>
                <w:rFonts w:ascii="Times New Roman" w:eastAsia="方正仿宋_GBK" w:cs="Times New Roman"/>
                <w:kern w:val="0"/>
                <w:sz w:val="24"/>
                <w:szCs w:val="24"/>
              </w:rPr>
              <w:lastRenderedPageBreak/>
              <w:t>生産能力、実際の年間生産量（品種ごとの統計）を含む、レビュー日から過去 2 年間の生産および操業情報を提供します（設立されてから 2 年未満の場合は、企業設立以降の情報を提供します）。 ）、輸出量（ある場合）、品種および国家統計）など。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企業は情報を真実に記入する必要があり、基本情報は輸出国の管轄当局から提出された情</w:t>
            </w:r>
            <w:r>
              <w:rPr>
                <w:rFonts w:ascii="Times New Roman" w:eastAsia="方正仿宋_GBK" w:cs="Times New Roman"/>
                <w:color w:val="000000"/>
                <w:kern w:val="0"/>
                <w:sz w:val="24"/>
                <w:szCs w:val="24"/>
              </w:rPr>
              <w:lastRenderedPageBreak/>
              <w:t>報および実際の生産および加工条件と一致していなければなりません。</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中国に輸出される保存・乾燥野菜及び乾燥豆は、中国に輸出される保存・乾燥野菜及び乾燥豆の検査・検疫に関する関連協定、議定書、覚書等に定められた製品範囲を遵守しなければならない。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1.2管理体制</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中国に輸出される保存および乾燥野菜および乾燥豆の検査および検疫プロトコ</w:t>
            </w:r>
            <w:r>
              <w:rPr>
                <w:rFonts w:ascii="Times New Roman" w:eastAsia="方正仿宋_GBK" w:cs="Times New Roman"/>
                <w:color w:val="000000"/>
                <w:kern w:val="0"/>
                <w:sz w:val="24"/>
                <w:szCs w:val="24"/>
              </w:rPr>
              <w:lastRenderedPageBreak/>
              <w:t>ルは、申請国の管轄当局と税関総署の間で署名されます。</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 植物検疫の予防管理、食品の安全管理、人事管理、化学薬品の使用、原材料の受け入れ、倉庫管理、完成品の輸出検査、不適格製品の回収、トレーサビリティ管理などの管理システム文書を提供します。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し</w:t>
            </w:r>
            <w:r>
              <w:rPr>
                <w:rFonts w:ascii="Times New Roman" w:eastAsia="方正仿宋_GBK" w:cs="Times New Roman"/>
                <w:color w:val="000000"/>
                <w:kern w:val="0"/>
                <w:sz w:val="24"/>
                <w:szCs w:val="24"/>
              </w:rPr>
              <w:lastRenderedPageBreak/>
              <w:t>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rPr>
                <w:rFonts w:ascii="Times New Roman" w:eastAsia="方正仿宋_GBK" w:cs="Times New Roman"/>
                <w:color w:val="000000"/>
                <w:kern w:val="0"/>
                <w:sz w:val="20"/>
                <w:szCs w:val="20"/>
              </w:rPr>
            </w:pP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管理組織体制</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中国に輸出される保存および乾燥野菜および乾燥豆の検査および検疫プロトコルは、申請国の管轄当局と税関総署の間で署名されます。</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企業の管理組織と、工場の衛生および食品の安全管理に関連する部門または役職の人員配置に関する情報を提供します。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企業は工場の衛生と食品の安全管理を担当する部署や役職を設け、工場の衛生と食品の安全に関連する専門的背景を持つ管理者を配置する必要がある。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2. 企業の所在地と工場のレイアウト</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2.1用地の選定と工場環境</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「国家食品安全基準食品生産のための一般衛生仕様」(GB14881) の 3.1 および </w:t>
            </w:r>
            <w:r>
              <w:rPr>
                <w:rFonts w:ascii="Times New Roman" w:eastAsia="方正仿宋_GBK" w:cs="Times New Roman"/>
                <w:kern w:val="0"/>
                <w:sz w:val="24"/>
                <w:szCs w:val="24"/>
              </w:rPr>
              <w:lastRenderedPageBreak/>
              <w:t>3.2。</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工場エリアの平面図を提供し、さまざまな作業エリアの名前を示します。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(都市部、郊外、工業地帯、農業地帯、住宅地) が示されている必要があります</w:t>
            </w:r>
            <w:r>
              <w:rPr>
                <w:rFonts w:ascii="Times New Roman" w:eastAsia="方正仿宋_GBK" w:cs="Times New Roman"/>
                <w:color w:val="000000"/>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生産・加工のニーズに合わせた工場エリアのレイアウト。</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工場周辺には汚染源がない</w:t>
            </w:r>
            <w:r>
              <w:rPr>
                <w:rFonts w:ascii="Times New Roman" w:eastAsia="方正仿宋_GBK" w:cs="Times New Roman"/>
                <w:color w:val="000000"/>
                <w:kern w:val="0"/>
                <w:sz w:val="24"/>
                <w:szCs w:val="24"/>
              </w:rPr>
              <w:lastRenderedPageBreak/>
              <w:t>。</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ワークショップのレイアウト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4.1。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作業場の平面図を提供し、人の流れ、物流、水の流れ、処理手順、さまざまな清掃エリアを示します。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作業場の面積と高さは、生産能力と設備の配置に適合し、プロセスフローと処理される製品の安全衛生要件を満たし、相互汚染を回避する必要があります。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作業場内の開閉可能なドアや窓、外界とつながる通路には、昆虫、ネズミ、鳥、コウモリ、その他の飛翔動物を防ぐ設備がなければなりません。</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施設・設備</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w:t>
            </w:r>
            <w:r>
              <w:rPr>
                <w:rFonts w:ascii="Times New Roman" w:eastAsia="方正仿宋_GBK" w:cs="Times New Roman"/>
                <w:kern w:val="0"/>
                <w:sz w:val="24"/>
                <w:szCs w:val="24"/>
              </w:rPr>
              <w:lastRenderedPageBreak/>
              <w:t>よび加工設備</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「国家食品安全基準食品</w:t>
            </w:r>
            <w:r>
              <w:rPr>
                <w:rFonts w:ascii="Times New Roman" w:eastAsia="方正仿宋_GBK" w:cs="Times New Roman"/>
                <w:kern w:val="0"/>
                <w:sz w:val="24"/>
                <w:szCs w:val="24"/>
              </w:rPr>
              <w:lastRenderedPageBreak/>
              <w:t>生産のための一般衛生仕様」(GB14881) の 5.2.1。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3.1 主要な機器と設備、および設</w:t>
            </w:r>
            <w:r>
              <w:rPr>
                <w:rFonts w:ascii="Times New Roman" w:eastAsia="方正仿宋_GBK" w:cs="Times New Roman"/>
                <w:color w:val="000000"/>
                <w:kern w:val="0"/>
                <w:sz w:val="24"/>
                <w:szCs w:val="24"/>
              </w:rPr>
              <w:lastRenderedPageBreak/>
              <w:t>計と処理能力のリストを提供します。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企業は生産能力と加工能力</w:t>
            </w:r>
            <w:r>
              <w:rPr>
                <w:rFonts w:ascii="Times New Roman" w:eastAsia="方正仿宋_GBK" w:cs="Times New Roman"/>
                <w:color w:val="000000"/>
                <w:kern w:val="0"/>
                <w:sz w:val="24"/>
                <w:szCs w:val="24"/>
              </w:rPr>
              <w:lastRenderedPageBreak/>
              <w:t>に見合った生産設備を備えるべきである。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倉庫設備</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GB14881)の 10 。</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3.2冷蔵倉庫がある場合は、温度管理要件と監視方法を説明してください。 (該当する場合)</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製品の保管、防虫、温湿度管理などの基本的な要件を満たす保管施設。</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4.水/氷/蒸気</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生産および加工用の水/蒸気/氷 (該当する場合)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「飲料水に関する国家食品安全基準および衛生基準」(GB 5749)。</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「国家食品安全基準食品生産のための一般衛生仕様」(GB14881) の 5.1.1。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 企業は、水質が生産および加工の要件を満たしていることを確認し、必要に応じて生産および加工水の検査報告書を提出する必要があります。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食品加工水および食品と接触しないその他の水（間接的な凝縮水、下水、廃水など）は、相互汚染を避けるために完全に分離されたパイプラインで輸送する必要があります。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企業は、生産水（使用する場合）の品質をテストして、安全要件を満たしていることを確認する必要があります。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5. 原材料および包装材</w:t>
            </w:r>
          </w:p>
        </w:tc>
      </w:tr>
      <w:tr w:rsidR="00034B6D">
        <w:trPr>
          <w:trHeight w:val="66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5.1 原材料および添加剤の受け入れと管理</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7。</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原材料および添加物の受け入れ基準および受け入れ方法を含む受け入れ措置を提供する。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工場に入る前に原材料の植物検疫および植物の安全条件を検査するか、原材料が安全生産要件を満たしていることを確認するために必要な害虫防除措置を講じ、受入記録と害虫防除記録を確立し、記録を保存する必要があります。 2年以上。</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5.2原材料の供給源</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「食品中の病原性細菌の国家食品安全基準限度」(GB29921)。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「食品添加物の使用に関する国家食品安全基準」(GB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「食品中のマイコトキシ</w:t>
            </w:r>
            <w:r>
              <w:rPr>
                <w:rFonts w:ascii="Times New Roman" w:eastAsia="方正仿宋_GBK" w:cs="Times New Roman"/>
                <w:color w:val="000000"/>
                <w:kern w:val="0"/>
                <w:sz w:val="24"/>
                <w:szCs w:val="24"/>
              </w:rPr>
              <w:lastRenderedPageBreak/>
              <w:t xml:space="preserve">ンの国家食品安全基準制限値」(GB 2761)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「国家食品安全基準食品中の汚染物質の制限」(GB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「国家食品安全基準 食品中の農薬の最大残留限度」(GB 2763)。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製品が中国の国家食品安全基準に準拠していることを示す最新の試験報告書を提供します。 (該当する場合)。</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会社が生産する原材料が中国にとって検疫害虫の懸念のない地域から生産されたものであるこ</w:t>
            </w:r>
            <w:r>
              <w:rPr>
                <w:rFonts w:ascii="Times New Roman" w:eastAsia="方正仿宋_GBK" w:cs="Times New Roman"/>
                <w:kern w:val="0"/>
                <w:sz w:val="24"/>
                <w:szCs w:val="24"/>
              </w:rPr>
              <w:lastRenderedPageBreak/>
              <w:t>と、および原材料の供給者が現地の要件を満たす資格を持っていることを証明する資料を提供すること。</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使用される原材料は、中国の法律と規制、国家食品安全基準、中国に輸出される保存乾燥野菜および乾燥豆の検査と検疫に関する関連協定、議定書、覚書およびその他の規制を遵守する必要があります。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企業は、契約の要件に従って、原材料の適合性評価を確立し、購入した原材料のトレーサビリティ管理を実施しているかどうか。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食品添加物 (該当する場合)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「食品添加物の使用に関する国家食品安全基準」(GB 2760 )。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5.3製造・加工時に使用される食品添加物のリスト（名称、目的、添加量等を含む）。</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5.4梱包材</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8.5。</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関連する二国間検査およ</w:t>
            </w:r>
            <w:r>
              <w:rPr>
                <w:rFonts w:ascii="Times New Roman" w:eastAsia="方正仿宋_GBK" w:cs="Times New Roman"/>
                <w:color w:val="000000"/>
                <w:kern w:val="0"/>
                <w:sz w:val="24"/>
                <w:szCs w:val="24"/>
              </w:rPr>
              <w:lastRenderedPageBreak/>
              <w:t>び検疫協定、覚書および議定書</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内部および外部の梱包材が製品の梱包に適していることの証明を提供します。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中国に輸出される完成品の</w:t>
            </w:r>
            <w:r>
              <w:rPr>
                <w:rFonts w:ascii="Times New Roman" w:eastAsia="方正仿宋_GBK" w:cs="Times New Roman"/>
                <w:kern w:val="0"/>
                <w:sz w:val="24"/>
                <w:szCs w:val="24"/>
              </w:rPr>
              <w:lastRenderedPageBreak/>
              <w:t>ラベル スタイルを提供します。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包装材料は、特定の保管および使用条件下では食品の安全性や製品の特性に影響を与えません。</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包装マークは、二国間検査および検疫協定、覚書およびプロトコルの要件に準拠する必要があります。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6. 生産・加工管理</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6.1 食品の安全衛生管理システムの運用状況</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「国家食品安全基準食品生産のための一般衛生仕様」(GB14881-2013) の 8。</w:t>
            </w:r>
          </w:p>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「危険分析重要管理点 (HACCP) システムに基づく食品生産企業の一般要件」 (GB/T 27341)。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生産および加工プロセスのフローを提供し、重要管理点 (CCP) と講じられた危険管理措置を示します。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6.1.2 HACCP システムが採用されている場合は、ハザード分析ワークシートと HACCP 計画、CCP モニタリング記録、修正記録、および検証記録サンプル フォーム (該当する場合) 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1. 製品の安全性を確保するために、企業の生産および加工プロセスとそれに対応する主要プロセスパラメータは科学的かつ標準化されている必要があり、安全リスクが存在する主要なリンクには特別な危険管理措置または重要管理点（CCP）を採用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0"/>
                <w:szCs w:val="20"/>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マイコトキシンの制御</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「食品中のマイコトキシンの国家食品安全基準制限値」(GB 2761)。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生産、加工、保管されている製品中の</w:t>
            </w:r>
            <w:r>
              <w:rPr>
                <w:rFonts w:ascii="Times New Roman" w:eastAsia="方正仿宋_GBK" w:cs="Times New Roman"/>
                <w:color w:val="000000"/>
                <w:kern w:val="0"/>
                <w:sz w:val="24"/>
                <w:szCs w:val="24"/>
              </w:rPr>
              <w:t>マイコトキシンが中国の国家食品安全基準に準拠していること</w:t>
            </w:r>
            <w:r>
              <w:rPr>
                <w:rFonts w:ascii="Times New Roman" w:eastAsia="方正仿宋_GBK" w:cs="Times New Roman"/>
                <w:color w:val="000000"/>
                <w:kern w:val="0"/>
                <w:sz w:val="24"/>
                <w:szCs w:val="24"/>
              </w:rPr>
              <w:lastRenderedPageBreak/>
              <w:t>を示すサンプリング検査報告書を提供する。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製造、加工、保管後の製品中の</w:t>
            </w:r>
            <w:r>
              <w:rPr>
                <w:rFonts w:ascii="Times New Roman" w:eastAsia="方正仿宋_GBK" w:cs="Times New Roman"/>
                <w:color w:val="000000"/>
                <w:kern w:val="0"/>
                <w:sz w:val="24"/>
                <w:szCs w:val="24"/>
              </w:rPr>
              <w:t>カビ毒に対する加工工場の管理システムは合理的かどうか。</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試験結果は</w:t>
            </w:r>
            <w:r>
              <w:rPr>
                <w:rFonts w:ascii="Times New Roman" w:eastAsia="方正仿宋_GBK" w:cs="Times New Roman"/>
                <w:color w:val="000000"/>
                <w:kern w:val="0"/>
                <w:sz w:val="24"/>
                <w:szCs w:val="24"/>
              </w:rPr>
              <w:t>中国の国家食品安全基準に準拠する必要があります。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6.3食品添加物および栄養強化剤の使用（該当する場合）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「食品添加物の使用に関する国家食品安全基準」(GB 2760)。</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「食品栄養強化剤の使用に関する国家食品安全基準」(GB14880)。</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6.3 生産および加工に使用される食品添加物および栄養補助食品のリストを提供します（名前、用途、添加量などを含む）。</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試験結果は</w:t>
            </w:r>
            <w:r>
              <w:rPr>
                <w:rFonts w:ascii="Times New Roman" w:eastAsia="方正仿宋_GBK" w:cs="Times New Roman"/>
                <w:color w:val="000000"/>
                <w:kern w:val="0"/>
                <w:sz w:val="24"/>
                <w:szCs w:val="24"/>
              </w:rPr>
              <w:t>中国の国家食品安全基準に準拠する必要があります。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7. 洗浄と消毒</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8.2.1。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洗浄および消毒の方法と頻度、および洗浄および消毒の効果の検証を含む、洗浄および消毒の措置を提供する。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洗浄および消毒対策は、相互汚染を排除し、衛生要件を満たすことができる必要があります。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8. 化学物質、廃棄物、害虫およびげっ歯類の防除</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8.1</w:t>
            </w:r>
            <w:r>
              <w:rPr>
                <w:rFonts w:ascii="Times New Roman" w:eastAsia="方正仿宋_GBK" w:cs="Times New Roman"/>
                <w:color w:val="000000"/>
                <w:kern w:val="0"/>
                <w:sz w:val="24"/>
                <w:szCs w:val="24"/>
              </w:rPr>
              <w:t>化学物質の管理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「国家食品安全基準食品生産のための一般衛生仕様」 ( GB14881-2013) の 8.3。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化学物質の使用および保管要件を簡単に説明します。</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化学物質管理システムは合理的であり、使用される化学物質による製品の汚染を効果的に防止できます。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8.2物理的</w:t>
            </w:r>
            <w:r>
              <w:rPr>
                <w:rFonts w:ascii="Times New Roman" w:eastAsia="方正仿宋_GBK" w:cs="Times New Roman"/>
                <w:color w:val="000000"/>
                <w:kern w:val="0"/>
                <w:sz w:val="24"/>
                <w:szCs w:val="24"/>
              </w:rPr>
              <w:t>汚染管理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8.4。</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物理的汚染を防止するための管理システムおよび関連する治療記録を提供する。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異物汚染を防止するための管理システムを確立し、考えられる汚染源と経路を分析し、対応する管理計画と手順を策定する必要があります。</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設備の保守、衛生管理、現場管理、外部の人的管理、加工プロセスの監督などの措置を講じて、最大限の効果を発揮する必要があります。</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ガラス、金属、プラスチック、その他の異物による食品の汚染のリスクを最小限に抑えます。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金属またはその他の異物による食品汚染のリスクを軽減す</w:t>
            </w:r>
            <w:r>
              <w:rPr>
                <w:rFonts w:ascii="Times New Roman" w:eastAsia="方正仿宋_GBK" w:cs="Times New Roman"/>
                <w:color w:val="000000"/>
                <w:kern w:val="0"/>
                <w:sz w:val="24"/>
                <w:szCs w:val="24"/>
              </w:rPr>
              <w:lastRenderedPageBreak/>
              <w:t>るために、スクリーン、キャッチャー、磁石、金属探知機などの効果的な措置を講じる必要があります。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害虫およびげっ歯類の防除</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6.4。</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害虫駆除方法とレイアウト計画を第三者が実施する場合は、第三者の資格を提供します。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生産の安全性と健康に対する蚊、ハエ、その他の害虫およびげっ歯類の影響は避けるべきです。</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廃棄物管理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 GB14881) の 6.5。</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8.4廃棄物管理システムおよび関連する処理記録を提供する。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1.作業場内の食用製品の容器と廃棄物保管容器は明確にマークされ、区別される必要があります。</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廃棄物は個別に保管し、生産への汚染を避けるために適時に処理する必要があります。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9.製品のトレーサビリティ</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トレーサビリティ</w:t>
            </w:r>
            <w:r>
              <w:rPr>
                <w:rFonts w:ascii="Times New Roman" w:eastAsia="方正仿宋_GBK" w:cs="Times New Roman"/>
                <w:kern w:val="0"/>
                <w:sz w:val="24"/>
                <w:szCs w:val="24"/>
              </w:rPr>
              <w:lastRenderedPageBreak/>
              <w:t>とリコール</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「国家食品安全基準食品生産のための一般衛生仕様</w:t>
            </w:r>
            <w:r>
              <w:rPr>
                <w:rFonts w:ascii="Times New Roman" w:eastAsia="方正仿宋_GBK" w:cs="Times New Roman"/>
                <w:color w:val="000000"/>
                <w:kern w:val="0"/>
                <w:sz w:val="24"/>
                <w:szCs w:val="24"/>
              </w:rPr>
              <w:lastRenderedPageBreak/>
              <w:t>」(GB14881) の 11。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9.1 製品のトレーサビリティ手順を簡単に説明します。完成品のバ</w:t>
            </w:r>
            <w:r>
              <w:rPr>
                <w:rFonts w:ascii="Times New Roman" w:eastAsia="方正仿宋_GBK" w:cs="Times New Roman"/>
                <w:kern w:val="0"/>
                <w:sz w:val="24"/>
                <w:szCs w:val="24"/>
              </w:rPr>
              <w:lastRenderedPageBreak/>
              <w:t>ッチ番号を例として、完成品から原材料までを追跡する方法を説明します。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トレーサビリティ手順は、原材料、生産および加工プロセ</w:t>
            </w:r>
            <w:r>
              <w:rPr>
                <w:rFonts w:ascii="Times New Roman" w:eastAsia="方正仿宋_GBK" w:cs="Times New Roman"/>
                <w:kern w:val="0"/>
                <w:sz w:val="24"/>
                <w:szCs w:val="24"/>
              </w:rPr>
              <w:lastRenderedPageBreak/>
              <w:t>ス、および最終製品のフルチェーンの双方向トレーサビリティを実現するために確立される必要があります。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w:t>
            </w:r>
            <w:r>
              <w:rPr>
                <w:rFonts w:ascii="Times New Roman" w:eastAsia="方正仿宋_GBK" w:cs="Times New Roman"/>
                <w:kern w:val="0"/>
                <w:sz w:val="24"/>
                <w:szCs w:val="24"/>
              </w:rPr>
              <w:lastRenderedPageBreak/>
              <w:t>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インバウンドおよびアウトバウンドの管理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11 および 14.1。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製品の入退出管理を提供します。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製品は倉庫に入る前に検査され、受け入れ、保管、搬出の記録が 2 年以上保存される必要があります。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10. 人事管理と研修</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従業員の健康および衛生管理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従業員に雇用前の健康管理と従業員の健康診断の要件を提供する。</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従業員を雇用する前に、健康診断を受け、食品加工企業で働くのに適していることを証明する必要があります。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従業員は定期的に健康診断を受け、記録を保管する必要があります。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人材育成</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w:t>
            </w:r>
            <w:r>
              <w:rPr>
                <w:rFonts w:ascii="Times New Roman" w:eastAsia="方正仿宋_GBK" w:cs="Times New Roman"/>
                <w:color w:val="000000"/>
                <w:kern w:val="0"/>
                <w:sz w:val="24"/>
                <w:szCs w:val="24"/>
              </w:rPr>
              <w:lastRenderedPageBreak/>
              <w:t>」(GB14881) の 12。</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10.2従業員に年間研修計画、内容、評価、記録を提供する。</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研修内容は、中国に輸出される保存野菜、乾燥野菜および</w:t>
            </w:r>
            <w:r>
              <w:rPr>
                <w:rFonts w:ascii="Times New Roman" w:eastAsia="方正仿宋_GBK" w:cs="Times New Roman"/>
                <w:color w:val="000000"/>
                <w:kern w:val="0"/>
                <w:sz w:val="24"/>
                <w:szCs w:val="24"/>
              </w:rPr>
              <w:lastRenderedPageBreak/>
              <w:t>乾燥豆に関する検査および検疫覚書、協定および手順、中国の規制および基準を含むものとする。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w:t>
            </w:r>
            <w:r>
              <w:rPr>
                <w:rFonts w:ascii="Times New Roman" w:eastAsia="方正仿宋_GBK" w:cs="Times New Roman"/>
                <w:kern w:val="0"/>
                <w:sz w:val="24"/>
                <w:szCs w:val="24"/>
              </w:rPr>
              <w:lastRenderedPageBreak/>
              <w:t>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10.3管理要件</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13.3。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輸出製品が所在する国/地域の関連規制および中国の工場衛生および食品安全法規に関する研修記録を管理担当者に提供し、必要に応じて現場での現場確認と質疑応答を実施します。</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の生産および管理担当者のビジネス能力は職務要件に適しており、国/地域および中国の工場の健康および食品安全に関する法律および規制の関連規定に精通している必要があります。生鮮野菜、乾燥野菜、乾燥豆を中国に輸出するために双方が署名した協定書とこの仕様書が必要です。</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職務にふさわしい資格と能力を有していること。</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11.自己点検と自制</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11.完成品検査</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w:t>
            </w:r>
            <w:r>
              <w:rPr>
                <w:rFonts w:ascii="Times New Roman" w:eastAsia="方正仿宋_GBK" w:cs="Times New Roman"/>
                <w:color w:val="000000"/>
                <w:kern w:val="0"/>
                <w:sz w:val="24"/>
                <w:szCs w:val="24"/>
              </w:rPr>
              <w:lastRenderedPageBreak/>
              <w:t xml:space="preserve">」(GB14881) の 9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「食品添加物の使用に関する国家食品安全基準」(GB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「食品中のマイコトキシンの国家食品安全基準制限値」(GB 2761 )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「国家食品安全基準食品中の汚染物質の制限」(GB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5.「国家食品安全基準食品中の農薬の最大残留限度」(GB 2763)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11.1完成品の検査項目、指標、検査方法、頻度を規定する。</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11.2 企業が独自の検査室を有する場合、その検査室の能力および資格の証明を提出しなければならない。企業が第三者の委託検査室に委託する場合は、委託検査室の資格を提供しなければならない</w:t>
            </w:r>
            <w:r>
              <w:rPr>
                <w:rFonts w:ascii="Times New Roman" w:eastAsia="方正仿宋_GBK" w:cs="Times New Roman"/>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企業は、中国の要件への準拠を確保するために、製品の植</w:t>
            </w:r>
            <w:r>
              <w:rPr>
                <w:rFonts w:ascii="Times New Roman" w:eastAsia="方正仿宋_GBK" w:cs="Times New Roman"/>
                <w:color w:val="000000"/>
                <w:kern w:val="0"/>
                <w:sz w:val="24"/>
                <w:szCs w:val="24"/>
              </w:rPr>
              <w:lastRenderedPageBreak/>
              <w:t>物検疫、食品安全、その他の検査を実施し、検査記録を 2 年以上保存する必要があります。</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企業は製品の植物検疫および食品安全の検査および試験能力を有するか、または関連資格を有する機関に検査および試験の実施を委託する必要がある。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w:t>
            </w:r>
            <w:r>
              <w:rPr>
                <w:rFonts w:ascii="Times New Roman" w:eastAsia="方正仿宋_GBK" w:cs="Times New Roman"/>
                <w:kern w:val="0"/>
                <w:sz w:val="24"/>
                <w:szCs w:val="24"/>
              </w:rPr>
              <w:lastRenderedPageBreak/>
              <w:t>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12.害虫駆除</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中国にとって懸念される検疫害虫の予防と管理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中国に輸出される保存乾燥野菜および乾燥豆の検査および検疫に関する覚書、協定および議定書。</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企業は、監視システムおよび監視結果とともに、懸念される検疫害虫のリストを中国に提出しなければならない。</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企業は生産・保管過程において製品の有害生物感染を防止する効果的な措置を講じ、中国が懸念する検疫害虫を監視し、監視記録を2年以上保存する必</w:t>
            </w:r>
            <w:r>
              <w:rPr>
                <w:rFonts w:ascii="Times New Roman" w:eastAsia="方正仿宋_GBK" w:cs="Times New Roman"/>
                <w:color w:val="000000"/>
                <w:kern w:val="0"/>
                <w:sz w:val="24"/>
                <w:szCs w:val="24"/>
              </w:rPr>
              <w:lastRenderedPageBreak/>
              <w:t>要がある。</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害虫の識別</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中国に輸出される保存乾燥野菜および乾燥豆の検査および検疫に関する覚書、協定および議定書。</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企業は、生産および保管中に発見された害虫の記録と、委託された専門機関からの識別記録を提出しなければならない。</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企業は、生産および保管中に発見された有害生物を識別する能力を有するか、または専門機関に識別の実施を委託し、作業記録を作成し、2 年以上保存する必要があります。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害虫駆除</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中国に輸出される保存乾燥野菜および乾燥豆の検査および検疫に関する覚書、協定および議定書。</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12.3企業は、生産区域および保管区域で実施された害虫駆除措置の記録を提出しなければならない。</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企業は、生産区域および保管区域において害虫駆除措置を定期的に実施するか、または必要に応じて関連する予防および管理措置を記録し、少なくとも2 年間保存する必要があります。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12.4燻蒸処理（必要な場合）</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中国に輸出される保存乾燥野菜および乾燥豆の検査および検疫に関する覚書、協定および議定書。</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燻蒸処理方法は中国の要件に準拠する必要があり、燻蒸を実施する機関および職員は関連する資格または条件を備えている必要があります。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13. 声明</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企業声明</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法人の署名と社印が必要です。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管轄当局による確認</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所轄官庁の署名と押印が必要です。</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34B6D" w:rsidRDefault="00034B6D">
      <w:pPr>
        <w:widowControl/>
        <w:spacing w:line="324" w:lineRule="atLeast"/>
        <w:jc w:val="left"/>
        <w:rPr>
          <w:rFonts w:ascii="Times New Roman" w:eastAsia="宋体" w:cs="Times New Roman"/>
          <w:color w:val="000000"/>
          <w:kern w:val="0"/>
          <w:sz w:val="27"/>
          <w:szCs w:val="27"/>
        </w:rPr>
      </w:pPr>
    </w:p>
    <w:sectPr w:rsidR="00034B6D">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5C" w:rsidRDefault="00B34A5C" w:rsidP="00210D82">
      <w:r>
        <w:separator/>
      </w:r>
    </w:p>
  </w:endnote>
  <w:endnote w:type="continuationSeparator" w:id="0">
    <w:p w:rsidR="00B34A5C" w:rsidRDefault="00B34A5C" w:rsidP="0021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82" w:rsidRPr="00210D82" w:rsidRDefault="00210D82">
    <w:pPr>
      <w:pStyle w:val="a4"/>
      <w:rPr>
        <w:color w:val="A6A6A6" w:themeColor="background1" w:themeShade="A6"/>
      </w:rPr>
    </w:pPr>
    <w:r w:rsidRPr="00210D82">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5C" w:rsidRDefault="00B34A5C" w:rsidP="00210D82">
      <w:r>
        <w:separator/>
      </w:r>
    </w:p>
  </w:footnote>
  <w:footnote w:type="continuationSeparator" w:id="0">
    <w:p w:rsidR="00B34A5C" w:rsidRDefault="00B34A5C" w:rsidP="00210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C307520"/>
    <w:lvl w:ilvl="0">
      <w:start w:val="1"/>
      <w:numFmt w:val="decimal"/>
      <w:lvlText w:val="%1."/>
      <w:lvlJc w:val="left"/>
      <w:pPr>
        <w:tabs>
          <w:tab w:val="num" w:pos="2040"/>
        </w:tabs>
        <w:ind w:left="2040" w:hanging="360"/>
      </w:pPr>
    </w:lvl>
  </w:abstractNum>
  <w:abstractNum w:abstractNumId="1">
    <w:nsid w:val="0FFFFF7D"/>
    <w:multiLevelType w:val="singleLevel"/>
    <w:tmpl w:val="D98C9204"/>
    <w:lvl w:ilvl="0">
      <w:start w:val="1"/>
      <w:numFmt w:val="decimal"/>
      <w:lvlText w:val="%1."/>
      <w:lvlJc w:val="left"/>
      <w:pPr>
        <w:tabs>
          <w:tab w:val="num" w:pos="1620"/>
        </w:tabs>
        <w:ind w:left="1620" w:hanging="360"/>
      </w:pPr>
    </w:lvl>
  </w:abstractNum>
  <w:abstractNum w:abstractNumId="2">
    <w:nsid w:val="0FFFFF7E"/>
    <w:multiLevelType w:val="singleLevel"/>
    <w:tmpl w:val="37A07462"/>
    <w:lvl w:ilvl="0">
      <w:start w:val="1"/>
      <w:numFmt w:val="decimal"/>
      <w:lvlText w:val="%1."/>
      <w:lvlJc w:val="left"/>
      <w:pPr>
        <w:tabs>
          <w:tab w:val="num" w:pos="1200"/>
        </w:tabs>
        <w:ind w:left="1200" w:hanging="360"/>
      </w:pPr>
    </w:lvl>
  </w:abstractNum>
  <w:abstractNum w:abstractNumId="3">
    <w:nsid w:val="0FFFFF7F"/>
    <w:multiLevelType w:val="singleLevel"/>
    <w:tmpl w:val="43D01586"/>
    <w:lvl w:ilvl="0">
      <w:start w:val="1"/>
      <w:numFmt w:val="decimal"/>
      <w:lvlText w:val="%1."/>
      <w:lvlJc w:val="left"/>
      <w:pPr>
        <w:tabs>
          <w:tab w:val="num" w:pos="780"/>
        </w:tabs>
        <w:ind w:left="780" w:hanging="360"/>
      </w:pPr>
    </w:lvl>
  </w:abstractNum>
  <w:abstractNum w:abstractNumId="4">
    <w:nsid w:val="0FFFFF80"/>
    <w:multiLevelType w:val="singleLevel"/>
    <w:tmpl w:val="2ABE357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40EF3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0AEC812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0F4262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FEA9C5A"/>
    <w:lvl w:ilvl="0">
      <w:start w:val="1"/>
      <w:numFmt w:val="decimal"/>
      <w:lvlText w:val="%1."/>
      <w:lvlJc w:val="left"/>
      <w:pPr>
        <w:tabs>
          <w:tab w:val="num" w:pos="360"/>
        </w:tabs>
        <w:ind w:left="360" w:hanging="360"/>
      </w:pPr>
    </w:lvl>
  </w:abstractNum>
  <w:abstractNum w:abstractNumId="9">
    <w:nsid w:val="0FFFFF89"/>
    <w:multiLevelType w:val="singleLevel"/>
    <w:tmpl w:val="A2309E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B"/>
    <w:rsid w:val="00034B6D"/>
    <w:rsid w:val="00210D82"/>
    <w:rsid w:val="005A05FB"/>
    <w:rsid w:val="005C7D2C"/>
    <w:rsid w:val="009B21F9"/>
    <w:rsid w:val="00B34A5C"/>
    <w:rsid w:val="00D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1381</Words>
  <Characters>7878</Characters>
  <Application>Microsoft Office Word</Application>
  <DocSecurity>0</DocSecurity>
  <Lines>65</Lines>
  <Paragraphs>18</Paragraphs>
  <ScaleCrop>false</ScaleCrop>
  <Company>Hewlett-Packard Company</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2024-11-18T08:51:00Z</dcterms:created>
  <dcterms:modified xsi:type="dcterms:W3CDTF">2024-11-18T12:08:00Z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